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bookmarkStart w:id="1" w:name="_GoBack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bookmarkEnd w:id="1"/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</w:t>
      </w:r>
      <w:proofErr w:type="gramStart"/>
      <w:r w:rsidRPr="00BE0FD8">
        <w:rPr>
          <w:rFonts w:ascii="標楷體" w:eastAsia="標楷體" w:hAnsi="標楷體" w:hint="eastAsia"/>
          <w:sz w:val="28"/>
          <w:szCs w:val="28"/>
        </w:rPr>
        <w:t>領域課綱教案</w:t>
      </w:r>
      <w:proofErr w:type="gramEnd"/>
      <w:r w:rsidRPr="00BE0FD8">
        <w:rPr>
          <w:rFonts w:ascii="標楷體" w:eastAsia="標楷體" w:hAnsi="標楷體" w:hint="eastAsia"/>
          <w:sz w:val="28"/>
          <w:szCs w:val="28"/>
        </w:rPr>
        <w:t>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</w:t>
      </w:r>
      <w:proofErr w:type="gramStart"/>
      <w:r w:rsidRPr="00217265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217265">
        <w:rPr>
          <w:rFonts w:ascii="標楷體" w:eastAsia="標楷體" w:hAnsi="標楷體" w:hint="eastAsia"/>
          <w:sz w:val="28"/>
          <w:szCs w:val="28"/>
        </w:rPr>
        <w:t>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</w:t>
      </w:r>
      <w:proofErr w:type="gramStart"/>
      <w:r w:rsidRPr="00472B5D">
        <w:rPr>
          <w:rFonts w:ascii="標楷體" w:eastAsia="標楷體" w:hAnsi="標楷體" w:cs="Arial"/>
          <w:sz w:val="28"/>
          <w:szCs w:val="28"/>
        </w:rPr>
        <w:t>撙</w:t>
      </w:r>
      <w:proofErr w:type="gramEnd"/>
      <w:r w:rsidRPr="00472B5D">
        <w:rPr>
          <w:rFonts w:ascii="標楷體" w:eastAsia="標楷體" w:hAnsi="標楷體" w:cs="Arial"/>
          <w:sz w:val="28"/>
          <w:szCs w:val="28"/>
        </w:rPr>
        <w:t>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F3" w:rsidRDefault="00EF52F3" w:rsidP="00943902">
      <w:r>
        <w:separator/>
      </w:r>
    </w:p>
  </w:endnote>
  <w:endnote w:type="continuationSeparator" w:id="0">
    <w:p w:rsidR="00EF52F3" w:rsidRDefault="00EF52F3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F3" w:rsidRDefault="00EF52F3" w:rsidP="00943902">
      <w:r>
        <w:separator/>
      </w:r>
    </w:p>
  </w:footnote>
  <w:footnote w:type="continuationSeparator" w:id="0">
    <w:p w:rsidR="00EF52F3" w:rsidRDefault="00EF52F3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5"/>
    <w:rsid w:val="00007785"/>
    <w:rsid w:val="000476C1"/>
    <w:rsid w:val="000C676E"/>
    <w:rsid w:val="00160E21"/>
    <w:rsid w:val="0033135A"/>
    <w:rsid w:val="003851E9"/>
    <w:rsid w:val="00472B5D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566B"/>
    <w:rsid w:val="00A12223"/>
    <w:rsid w:val="00AA5D07"/>
    <w:rsid w:val="00B34BCE"/>
    <w:rsid w:val="00B4198D"/>
    <w:rsid w:val="00B9262D"/>
    <w:rsid w:val="00BA2D83"/>
    <w:rsid w:val="00BE0FD8"/>
    <w:rsid w:val="00C50A09"/>
    <w:rsid w:val="00C84184"/>
    <w:rsid w:val="00C96B46"/>
    <w:rsid w:val="00EF52F3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張靜宜</cp:lastModifiedBy>
  <cp:revision>4</cp:revision>
  <cp:lastPrinted>2021-08-20T02:03:00Z</cp:lastPrinted>
  <dcterms:created xsi:type="dcterms:W3CDTF">2021-09-06T03:53:00Z</dcterms:created>
  <dcterms:modified xsi:type="dcterms:W3CDTF">2021-09-06T03:54:00Z</dcterms:modified>
</cp:coreProperties>
</file>